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9D7F5">
      <w:pPr>
        <w:rPr>
          <w:rFonts w:ascii="Arial" w:hAnsi="Arial" w:eastAsia="Arial" w:cs="Arial"/>
          <w:sz w:val="21"/>
          <w:szCs w:val="21"/>
        </w:rPr>
      </w:pPr>
    </w:p>
    <w:p w14:paraId="454A7B61">
      <w:pPr>
        <w:rPr>
          <w:rFonts w:hint="default" w:ascii="Arial" w:hAnsi="Arial" w:eastAsia="宋体" w:cs="Arial"/>
          <w:sz w:val="21"/>
          <w:szCs w:val="21"/>
          <w:lang w:val="en-US" w:eastAsia="zh-CN"/>
        </w:rPr>
      </w:pPr>
      <w:bookmarkStart w:id="0" w:name="_GoBack"/>
      <w:r>
        <w:rPr>
          <w:rFonts w:hint="eastAsia" w:eastAsia="宋体" w:cs="Arial"/>
          <w:sz w:val="21"/>
          <w:szCs w:val="21"/>
          <w:lang w:val="en-US" w:eastAsia="zh-CN"/>
        </w:rPr>
        <w:t>附件：1</w:t>
      </w:r>
    </w:p>
    <w:p w14:paraId="0A5EC97A">
      <w:pPr>
        <w:pStyle w:val="3"/>
        <w:rPr>
          <w:rFonts w:hint="eastAsia" w:eastAsia="宋体"/>
          <w:spacing w:val="9"/>
          <w:lang w:val="en-US" w:eastAsia="zh-CN"/>
        </w:rPr>
      </w:pPr>
      <w:r>
        <w:rPr>
          <w:spacing w:val="9"/>
        </w:rPr>
        <w:t>南充文化旅游职业学院</w:t>
      </w:r>
      <w:r>
        <w:rPr>
          <w:rFonts w:hint="eastAsia"/>
          <w:spacing w:val="9"/>
          <w:lang w:val="en-US" w:eastAsia="zh-CN"/>
        </w:rPr>
        <w:t>绿化养护</w:t>
      </w:r>
      <w:r>
        <w:rPr>
          <w:spacing w:val="9"/>
        </w:rPr>
        <w:t>采购项目</w:t>
      </w:r>
      <w:r>
        <w:rPr>
          <w:rFonts w:hint="eastAsia"/>
          <w:spacing w:val="9"/>
          <w:lang w:val="en-US" w:eastAsia="zh-CN"/>
        </w:rPr>
        <w:t>清单</w:t>
      </w:r>
      <w:bookmarkEnd w:id="0"/>
      <w:r>
        <w:rPr>
          <w:rFonts w:hint="eastAsia"/>
          <w:spacing w:val="9"/>
          <w:lang w:val="en-US" w:eastAsia="zh-CN"/>
        </w:rPr>
        <w:t xml:space="preserve"> （最高限价</w:t>
      </w:r>
      <w:r>
        <w:rPr>
          <w:rFonts w:hint="eastAsia" w:ascii="Times New Roman" w:hAnsi="Times New Roman" w:cs="Times New Roman"/>
          <w:spacing w:val="6"/>
          <w:lang w:val="en-US" w:eastAsia="zh-CN"/>
        </w:rPr>
        <w:t>78200</w:t>
      </w:r>
      <w:r>
        <w:rPr>
          <w:spacing w:val="6"/>
        </w:rPr>
        <w:t>元</w:t>
      </w:r>
      <w:r>
        <w:rPr>
          <w:rFonts w:hint="eastAsia"/>
          <w:spacing w:val="6"/>
          <w:lang w:eastAsia="zh-CN"/>
        </w:rPr>
        <w:t>）</w:t>
      </w:r>
    </w:p>
    <w:tbl>
      <w:tblPr>
        <w:tblStyle w:val="4"/>
        <w:tblW w:w="8950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16"/>
        <w:gridCol w:w="905"/>
        <w:gridCol w:w="905"/>
        <w:gridCol w:w="4421"/>
      </w:tblGrid>
      <w:tr w14:paraId="6B8A3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参数清单</w:t>
            </w:r>
          </w:p>
        </w:tc>
      </w:tr>
      <w:tr w14:paraId="324E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A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 w14:paraId="47923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割灌机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8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1、工作形式：侧挂式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2，离合器结合转速：3500-3700r/min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3，动力输出方式：自动离心离合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4，配套动力形式：二冲程风冷汽油机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5，配套动力排气量：≤42.7CC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6，额定功率：≥1.2kw(6500r/min)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7，启动方式：手拉反冲启动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8，化油器：膜片式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9，整机净重：≤8.5kg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10、配刀具：一字刀片壹付</w:t>
            </w:r>
          </w:p>
        </w:tc>
      </w:tr>
      <w:tr w14:paraId="64B4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绿篱修剪机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2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1、结构形式：单人手提式；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2、额定功率：≥0.65kw;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3、发动机额定转速：6500r/min±5%；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4、刀片往复速度2100r/min±5%;</w:t>
            </w:r>
          </w:p>
        </w:tc>
      </w:tr>
      <w:tr w14:paraId="0F6D9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打草机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0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1、工作形式：侧挂式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2，离合器结合转速：3500-3700r/min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3，动力输出方式：自动离心离合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4，配套动力形式：二冲程风冷汽油机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5，配套动力排气量：≤42.7CC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6，额定功率：≥1.2kw(6500r/min)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7，启动方式：手拉反冲启动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8，化油器：膜片式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9，整机净重：≤8.5kg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10、配刀具：打草头壹只</w:t>
            </w:r>
          </w:p>
        </w:tc>
      </w:tr>
      <w:tr w14:paraId="600A9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割草机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4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机壳材料：钢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动力：≥5马力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适合草坪面积（㎡）：400-1000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机器净重（kg): （40--48）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行走方式：手推式</w:t>
            </w:r>
          </w:p>
        </w:tc>
      </w:tr>
      <w:tr w14:paraId="77514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2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总长：（600）mm±5%mm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刃长：（250）mm±5%mm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柄长： （350）mm ±5%mm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最大剪切直径：（12）mm ±5%mm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刀头材质：高碳钢</w:t>
            </w:r>
          </w:p>
        </w:tc>
      </w:tr>
      <w:tr w14:paraId="6B82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A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1、结构形式：手持式；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2、额定功率：≥2.2KW；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3、配套动力额定转速：≥8500r/min；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4、离合方式：自动离心式离合；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5、怠速：2800-3200r/min；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6、化油器型式：膜片式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7、导板长度：≥18寸；9、净重：≤6.6kg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8、外形尺寸：（900±5%*260±5%*275）mm±5%mm</w:t>
            </w:r>
          </w:p>
        </w:tc>
      </w:tr>
      <w:tr w14:paraId="5A0C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高枝剪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F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5节伸缩铝杆</w:t>
            </w:r>
          </w:p>
        </w:tc>
      </w:tr>
      <w:tr w14:paraId="7C3F7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吸叶机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E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1、排量（ml）：≥25.4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2、最大功率（KW）：≥0.8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3、转速：≥7800r/min</w:t>
            </w:r>
          </w:p>
        </w:tc>
      </w:tr>
      <w:tr w14:paraId="7722B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碎枝机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2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1.额定功率：≥4.0/3600kw/rpm，2.最大碎枝尺寸：≥50mm，最大转速：2450rpm，刀片尺寸：155x55x6mm，行走轮：5.00-9，   3.包装尺寸：≥（855x535x980）mm，              4.净重：≥87.5kg，毛重：≥105kg</w:t>
            </w:r>
          </w:p>
        </w:tc>
      </w:tr>
      <w:tr w14:paraId="2C14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5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软管：DN25 800  DN32  200</w:t>
            </w:r>
          </w:p>
        </w:tc>
      </w:tr>
      <w:tr w14:paraId="3C378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喷淋头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1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</w:tr>
      <w:tr w14:paraId="2555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F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DN25 150  DN32*DN25 50</w:t>
            </w:r>
          </w:p>
        </w:tc>
      </w:tr>
      <w:tr w14:paraId="310B3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电动喷雾机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C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20L，锂电池</w:t>
            </w:r>
          </w:p>
        </w:tc>
      </w:tr>
      <w:tr w14:paraId="3E45E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6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1、电池容量：≥27安 72V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2、车箱长度：≥1.6米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3、车箱宽度：≥1.1米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4、四道梁加固车厢底（承载能力强）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5、整备质量：≥260kg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6：装载质量：≥200kg</w:t>
            </w:r>
          </w:p>
        </w:tc>
      </w:tr>
    </w:tbl>
    <w:p w14:paraId="463753EA">
      <w:pPr>
        <w:rPr>
          <w:spacing w:val="9"/>
        </w:rPr>
      </w:pPr>
      <w:r>
        <w:rPr>
          <w:rFonts w:hint="eastAsia" w:eastAsia="宋体"/>
          <w:spacing w:val="9"/>
          <w:lang w:val="en-US" w:eastAsia="zh-CN"/>
        </w:rPr>
        <w:t xml:space="preserve"> </w:t>
      </w:r>
    </w:p>
    <w:p w14:paraId="20BCC96D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6375BBA2">
      <w:pPr>
        <w:pStyle w:val="3"/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</w:pPr>
      <w:r>
        <w:rPr>
          <w:rFonts w:hint="eastAsia"/>
          <w:lang w:val="en-US" w:eastAsia="zh-CN"/>
        </w:rPr>
        <w:t xml:space="preserve">服务要求： 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en-US" w:bidi="ar-SA"/>
        </w:rPr>
        <w:t>、交货时间：成交供应商在与采购人签订采购合同后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en-US" w:bidi="ar-SA"/>
        </w:rPr>
        <w:t>个月内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 xml:space="preserve">。 </w:t>
      </w:r>
    </w:p>
    <w:p w14:paraId="6CEAF8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080" w:firstLineChars="500"/>
        <w:textAlignment w:val="auto"/>
        <w:outlineLvl w:val="9"/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>2、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en-US" w:bidi="ar-SA"/>
        </w:rPr>
        <w:t>交货地点：采购人指定地点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>。</w:t>
      </w:r>
    </w:p>
    <w:p w14:paraId="5458D1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1080" w:firstLineChars="500"/>
        <w:textAlignment w:val="auto"/>
        <w:outlineLvl w:val="9"/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>3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en-US" w:bidi="ar-SA"/>
        </w:rPr>
        <w:t>、付款方式：费用采用一次性方式支付，所有相关工作完成后并将标的送达并通过南充文化旅游职 业学院验收合格后，由供应商开具正规发票，南充文化旅游职业学院在 30 个工作日内统一 以转账方式付款。</w:t>
      </w:r>
    </w:p>
    <w:p w14:paraId="36A1E162">
      <w:pP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</w:pPr>
      <w:r>
        <w:rPr>
          <w:rFonts w:hint="eastAsia" w:eastAsia="宋体"/>
          <w:spacing w:val="7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>4、质保期限：1年</w:t>
      </w:r>
    </w:p>
    <w:p w14:paraId="6EC1D199">
      <w:pP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 xml:space="preserve">          5、供应商应保证并承诺在本项目中使用的任何产品和服务（包括部分使用）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14:paraId="411A2308">
      <w:pPr>
        <w:rPr>
          <w:rFonts w:hint="default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 xml:space="preserve">          6、严格遵守和执行《中华人民共和国政府采购法》,《中华人民共和国民法典》和其他有关法律、法规及规章制度”。 供应商一方原因造成的全部事故责任、法律责任和赔偿责任由供应商承担。</w:t>
      </w:r>
    </w:p>
    <w:p w14:paraId="1D8F0BD0">
      <w:pPr>
        <w:pStyle w:val="3"/>
        <w:rPr>
          <w:rFonts w:hint="default"/>
          <w:lang w:val="en-US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 xml:space="preserve">        </w:t>
      </w:r>
      <w:r>
        <w:rPr>
          <w:rFonts w:hint="eastAsia" w:cs="宋体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 xml:space="preserve"> </w:t>
      </w:r>
      <w:r>
        <w:rPr>
          <w:rFonts w:hint="eastAsia" w:cs="宋体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>7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>、合同签到时间：成交后</w:t>
      </w:r>
      <w:r>
        <w:rPr>
          <w:rFonts w:hint="eastAsia" w:cs="宋体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>15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>日内</w:t>
      </w:r>
    </w:p>
    <w:p w14:paraId="4CA0FA9E"/>
    <w:p w14:paraId="2DF2FFEF">
      <w:pPr>
        <w:pStyle w:val="3"/>
      </w:pPr>
    </w:p>
    <w:p w14:paraId="6F8F82F9"/>
    <w:p w14:paraId="4D0B8F64">
      <w:pPr>
        <w:pStyle w:val="3"/>
      </w:pPr>
    </w:p>
    <w:p w14:paraId="0E9CB884"/>
    <w:p w14:paraId="6A5FEE18">
      <w:pPr>
        <w:pStyle w:val="3"/>
      </w:pPr>
    </w:p>
    <w:p w14:paraId="1C826E60"/>
    <w:p w14:paraId="31D4AB3E">
      <w:pPr>
        <w:pStyle w:val="3"/>
      </w:pPr>
    </w:p>
    <w:p w14:paraId="292F773D"/>
    <w:p w14:paraId="63D58608">
      <w:pPr>
        <w:pStyle w:val="3"/>
      </w:pPr>
    </w:p>
    <w:p w14:paraId="7FB1A062"/>
    <w:p w14:paraId="6DEA75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53D0D"/>
    <w:rsid w:val="5385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kern w:val="0"/>
      <w:sz w:val="20"/>
    </w:r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2025-07-21T10:24:00Z</dcterms:created>
  <dc:creator>等等</dc:creator>
  <cp:lastModifiedBy>等等</cp:lastModifiedBy>
  <dcterms:modified xsi:type="dcterms:W3CDTF">2025-07-21T10:26:31Z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D6EFD58AC4F94CBD8D239226258695F9_11</vt:lpwstr>
  </property>
  <property fmtid="{D5CDD505-2E9C-101B-9397-08002B2CF9AE}" pid="4" name="KSOTemplateDocerSaveRecord">
    <vt:lpwstr>eyJoZGlkIjoiNGQ4Mjg2OGE3ZjYxYzFiN2FjYTIwNzY4MDExZDBjNzciLCJ1c2VySWQiOiIzMzQ4ODU2MjcifQ==</vt:lpwstr>
  </property>
</Properties>
</file>